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53"/>
        <w:gridCol w:w="4669"/>
      </w:tblGrid>
      <w:tr w:rsidR="00230FCE" w:rsidRPr="008516E6" w14:paraId="71CEEDB8" w14:textId="77777777" w:rsidTr="00230FCE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CEDF" w14:textId="304911CA" w:rsidR="00230FCE" w:rsidRPr="00230FCE" w:rsidRDefault="008516E6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Вих.№02\652 від 15.08.2025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F670" w14:textId="77777777" w:rsidR="00230FCE" w:rsidRPr="00230FCE" w:rsidRDefault="00230FCE" w:rsidP="00230FCE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" w:eastAsia="uk"/>
              </w:rPr>
            </w:pP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t xml:space="preserve">Додаток 62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>паперами (пункт 108)</w:t>
            </w:r>
          </w:p>
        </w:tc>
      </w:tr>
    </w:tbl>
    <w:p w14:paraId="2A828D2D" w14:textId="77777777" w:rsidR="00230FCE" w:rsidRPr="00230FCE" w:rsidRDefault="00230FCE" w:rsidP="00230FCE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 w:rsidRPr="00230FCE">
        <w:rPr>
          <w:rStyle w:val="spanrvts15"/>
          <w:bCs w:val="0"/>
          <w:lang w:val="uk" w:eastAsia="uk"/>
        </w:rPr>
        <w:t xml:space="preserve">ПОВІДОМЛЕННЯ </w:t>
      </w:r>
      <w:r w:rsidRPr="00230FCE">
        <w:rPr>
          <w:rStyle w:val="spanrvts15"/>
          <w:bCs w:val="0"/>
          <w:lang w:val="uk" w:eastAsia="uk"/>
        </w:rPr>
        <w:br/>
        <w:t>про проведення (скликання) загальних зборів акціонерного товариства</w:t>
      </w:r>
    </w:p>
    <w:tbl>
      <w:tblPr>
        <w:tblW w:w="4977" w:type="pct"/>
        <w:tblInd w:w="-20" w:type="dxa"/>
        <w:tblLayout w:type="fixed"/>
        <w:tblCellMar>
          <w:top w:w="567" w:type="dxa"/>
          <w:left w:w="567" w:type="dxa"/>
          <w:bottom w:w="567" w:type="dxa"/>
          <w:right w:w="567" w:type="dxa"/>
        </w:tblCellMar>
        <w:tblLook w:val="05E0" w:firstRow="1" w:lastRow="1" w:firstColumn="1" w:lastColumn="1" w:noHBand="0" w:noVBand="1"/>
      </w:tblPr>
      <w:tblGrid>
        <w:gridCol w:w="21"/>
        <w:gridCol w:w="4871"/>
        <w:gridCol w:w="20"/>
        <w:gridCol w:w="4948"/>
      </w:tblGrid>
      <w:tr w:rsidR="00230FCE" w14:paraId="3E7D4E56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CF63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1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6F336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2</w:t>
            </w:r>
          </w:p>
        </w:tc>
      </w:tr>
      <w:tr w:rsidR="00230FCE" w14:paraId="2A353918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30C69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Повне найменування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09D0" w14:textId="345B383C" w:rsidR="00230FCE" w:rsidRPr="00AA2A4D" w:rsidRDefault="00AA2A4D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ПРИВАТНЕ АКЦІОНЕРНЕ ТОВАРИСТВО "СТАЛЬКАНАТ"</w:t>
            </w:r>
          </w:p>
        </w:tc>
      </w:tr>
      <w:tr w:rsidR="00230FCE" w14:paraId="7860C8C5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C20F7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Ідентифікаційний код юридичної особи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7600" w14:textId="68719A5D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44437592</w:t>
            </w:r>
          </w:p>
        </w:tc>
      </w:tr>
      <w:tr w:rsidR="00230FCE" w:rsidRPr="008516E6" w14:paraId="434498A0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3278D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Місцезнаходження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1AF8" w14:textId="371D7252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>65007, м</w:t>
            </w:r>
            <w:proofErr w:type="spellStart"/>
            <w:r w:rsidR="00E81A5D">
              <w:rPr>
                <w:rStyle w:val="spanrvts0"/>
                <w:lang w:eastAsia="uk"/>
              </w:rPr>
              <w:t>i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сто Одеса,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вулиця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Водопров</w:t>
            </w:r>
            <w:r w:rsidR="00E81A5D">
              <w:rPr>
                <w:rStyle w:val="spanrvts0"/>
                <w:lang w:eastAsia="uk"/>
              </w:rPr>
              <w:t>i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дна,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будинок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16</w:t>
            </w:r>
          </w:p>
        </w:tc>
      </w:tr>
      <w:tr w:rsidR="00230FCE" w:rsidRPr="00230FCE" w14:paraId="5E3522EE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007C5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DBA5" w14:textId="3C1AF531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04.09.2025 18:00</w:t>
            </w:r>
          </w:p>
        </w:tc>
      </w:tr>
      <w:tr w:rsidR="00230FCE" w:rsidRPr="008516E6" w14:paraId="41D3C9EA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9E412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Спосіб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F57B0" w14:textId="6918B289" w:rsidR="00230FCE" w:rsidRPr="00230FCE" w:rsidRDefault="00AA2A4D" w:rsidP="00B8206F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AA2A4D">
              <w:rPr>
                <w:lang w:val="ru-RU"/>
              </w:rPr>
              <w:t xml:space="preserve">   </w:t>
            </w:r>
            <w:r w:rsidR="00E81A5D" w:rsidRPr="00C466C6">
              <w:rPr>
                <w:b/>
                <w:lang w:val="ru-RU"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4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очне голосування, місце проведення</w:t>
            </w:r>
            <w:r w:rsidR="00230FCE"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="00B8206F">
              <w:rPr>
                <w:rStyle w:val="spanrvts0"/>
                <w:b/>
                <w:bCs/>
                <w:lang w:val="uk" w:eastAsia="uk"/>
              </w:rPr>
              <w:t xml:space="preserve">: </w:t>
            </w:r>
            <w:r w:rsidR="00B8206F">
              <w:rPr>
                <w:rStyle w:val="spanrvts0"/>
                <w:b/>
                <w:bCs/>
                <w:lang w:val="uk" w:eastAsia="uk"/>
              </w:rPr>
              <w:br/>
            </w:r>
            <w:r w:rsidR="00B8206F" w:rsidRPr="00B8206F">
              <w:rPr>
                <w:rStyle w:val="spanrvts0"/>
                <w:b/>
                <w:bCs/>
                <w:lang w:val="ru-RU" w:eastAsia="uk"/>
              </w:rPr>
              <w:t xml:space="preserve">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E81A5D" w:rsidRPr="00C466C6">
              <w:rPr>
                <w:b/>
                <w:lang w:val="ru-RU"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5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 xml:space="preserve">електронне голосування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E81A5D" w:rsidRPr="00C466C6">
              <w:rPr>
                <w:b/>
                <w:lang w:val="ru-RU"/>
              </w:rPr>
              <w:t>[</w:t>
            </w:r>
            <w:r w:rsidR="00E81A5D">
              <w:rPr>
                <w:b/>
              </w:rPr>
              <w:t>X</w:t>
            </w:r>
            <w:r w:rsidR="00E81A5D" w:rsidRPr="00C466C6">
              <w:rPr>
                <w:b/>
                <w:lang w:val="ru-RU"/>
              </w:rPr>
              <w:t>]</w:t>
            </w:r>
            <w:r w:rsidR="00B8206F" w:rsidRPr="00B8206F">
              <w:rPr>
                <w:lang w:val="ru-RU"/>
              </w:rPr>
              <w:t xml:space="preserve"> </w:t>
            </w:r>
            <w:hyperlink r:id="rId6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опитування (дистанційно)</w:t>
            </w:r>
          </w:p>
        </w:tc>
      </w:tr>
      <w:tr w:rsidR="00230FCE" w:rsidRPr="00230FCE" w14:paraId="7C2719A8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5DAB7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8DFA" w14:textId="7D211BAC" w:rsidR="00230FCE" w:rsidRDefault="00B8206F" w:rsidP="00EB1242">
            <w:pPr>
              <w:pStyle w:val="rvps14"/>
              <w:contextualSpacing/>
              <w:rPr>
                <w:rStyle w:val="spanrvts0"/>
                <w:lang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22.08.2025 11:00</w:t>
            </w:r>
          </w:p>
          <w:p w14:paraId="73576E15" w14:textId="4AB93081" w:rsidR="00EB1242" w:rsidRPr="00B8206F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04.0</w:t>
            </w:r>
            <w:r w:rsidR="00C466C6">
              <w:rPr>
                <w:rStyle w:val="spanrvts0"/>
                <w:lang w:eastAsia="uk"/>
              </w:rPr>
              <w:t>9</w:t>
            </w:r>
            <w:r w:rsidR="00E81A5D">
              <w:rPr>
                <w:rStyle w:val="spanrvts0"/>
                <w:lang w:eastAsia="uk"/>
              </w:rPr>
              <w:t>.2025 18:00</w:t>
            </w:r>
          </w:p>
        </w:tc>
      </w:tr>
      <w:tr w:rsidR="00230FCE" w:rsidRPr="00230FCE" w14:paraId="3A28CC89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02FF5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691A" w14:textId="105F5491" w:rsidR="00230FCE" w:rsidRPr="00B8206F" w:rsidRDefault="00B8206F" w:rsidP="00EB1242">
            <w:pPr>
              <w:pStyle w:val="rvps14"/>
              <w:rPr>
                <w:rStyle w:val="spanrvts0"/>
                <w:lang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01.09.2025</w:t>
            </w:r>
          </w:p>
        </w:tc>
      </w:tr>
      <w:tr w:rsidR="00230FCE" w:rsidRPr="008516E6" w14:paraId="286F652F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B7631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 порядку денного / порядок денний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120F" w14:textId="77777777" w:rsidR="00E81A5D" w:rsidRPr="00C466C6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>ПОРЯДОК ДЕННИЙ (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перелік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виносяться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призначені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на "04" вересня 2025 р.:</w:t>
            </w:r>
          </w:p>
          <w:p w14:paraId="4F049E1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1.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2FCB14FA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Прийняти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відома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відсутність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взаємозв'язку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питаннями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включеними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C466C6">
              <w:rPr>
                <w:rStyle w:val="spanrvts0"/>
                <w:lang w:val="ru-RU" w:eastAsia="uk"/>
              </w:rPr>
              <w:t>до порядку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денного.</w:t>
            </w:r>
          </w:p>
          <w:p w14:paraId="66320825" w14:textId="56AFC2A5" w:rsidR="00230FCE" w:rsidRPr="00C466C6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8516E6" w14:paraId="4329EEB0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98B92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D3F8" w14:textId="77777777" w:rsidR="00E81A5D" w:rsidRPr="00C466C6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Перелік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разом з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проєктом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рішень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крім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кожного з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="00E81A5D" w:rsidRPr="00C466C6">
              <w:rPr>
                <w:rStyle w:val="spanrvts0"/>
                <w:lang w:val="ru-RU" w:eastAsia="uk"/>
              </w:rPr>
              <w:t>до порядку</w:t>
            </w:r>
            <w:proofErr w:type="gramEnd"/>
            <w:r w:rsidR="00E81A5D" w:rsidRPr="00C466C6">
              <w:rPr>
                <w:rStyle w:val="spanrvts0"/>
                <w:lang w:val="ru-RU" w:eastAsia="uk"/>
              </w:rPr>
              <w:t xml:space="preserve"> денного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позачергових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ПРИВАТНОГО АКЦІОНЕРНОГО ТОВАРИСТВА "СТАЛЬКАНАТ",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скликаються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на "04" вересня 2025 року.</w:t>
            </w:r>
          </w:p>
          <w:p w14:paraId="0289EF9C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№1.</w:t>
            </w:r>
          </w:p>
          <w:p w14:paraId="75BD5BCC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F75BBC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цього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Здійснити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чистого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підсумками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2024 року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розмірі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60 511 836,74 грн.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шістдесят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мільйонів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п'ятсот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одинадцять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тисяч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вісімсот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тридцять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шість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гривень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74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копійки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розрахунку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0,29 (нуль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гривень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29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копійки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грн. на одну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безпосередньої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C466C6">
              <w:rPr>
                <w:rStyle w:val="spanrvts0"/>
                <w:lang w:val="ru-RU" w:eastAsia="uk"/>
              </w:rPr>
              <w:t>;  строк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до 04.03.2026 р.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здійснити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безпосередньо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BBC5587" w14:textId="16F7E76B" w:rsidR="00230FCE" w:rsidRPr="00C466C6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8516E6" w14:paraId="72BF858C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6BD30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URL-адреса </w:t>
            </w:r>
            <w:proofErr w:type="spellStart"/>
            <w:r w:rsidRPr="00230FCE">
              <w:rPr>
                <w:rStyle w:val="spanrvts0"/>
                <w:b/>
                <w:bCs/>
                <w:lang w:val="uk" w:eastAsia="uk"/>
              </w:rPr>
              <w:t>вебсайту</w:t>
            </w:r>
            <w:proofErr w:type="spellEnd"/>
            <w:r w:rsidRPr="00230FCE">
              <w:rPr>
                <w:rStyle w:val="spanrvts0"/>
                <w:b/>
                <w:bCs/>
                <w:lang w:val="uk" w:eastAsia="uk"/>
              </w:rPr>
              <w:t xml:space="preserve">, на якій розміщено інформацію, зазначену в </w:t>
            </w:r>
            <w:hyperlink r:id="rId7" w:anchor="n506" w:tgtFrame="_blank" w:history="1">
              <w:r w:rsidRPr="00230FCE">
                <w:rPr>
                  <w:rStyle w:val="arvts96"/>
                  <w:lang w:val="uk" w:eastAsia="uk"/>
                </w:rPr>
                <w:t>частині третій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статті 47 Закону про акціонерні товариства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BFD2" w14:textId="373F92E8" w:rsidR="00230FCE" w:rsidRPr="00C466C6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https</w:t>
            </w:r>
            <w:r w:rsidR="00E81A5D" w:rsidRPr="00C466C6">
              <w:rPr>
                <w:rStyle w:val="spanrvts0"/>
                <w:lang w:val="ru-RU" w:eastAsia="uk"/>
              </w:rPr>
              <w:t>://</w:t>
            </w:r>
            <w:proofErr w:type="spellStart"/>
            <w:r w:rsidR="00E81A5D">
              <w:rPr>
                <w:rStyle w:val="spanrvts0"/>
                <w:lang w:eastAsia="uk"/>
              </w:rPr>
              <w:t>stalkanat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.</w:t>
            </w:r>
            <w:r w:rsidR="00E81A5D">
              <w:rPr>
                <w:rStyle w:val="spanrvts0"/>
                <w:lang w:eastAsia="uk"/>
              </w:rPr>
              <w:t>com</w:t>
            </w:r>
            <w:r w:rsidR="00E81A5D" w:rsidRPr="00C466C6">
              <w:rPr>
                <w:rStyle w:val="spanrvts0"/>
                <w:lang w:val="ru-RU" w:eastAsia="uk"/>
              </w:rPr>
              <w:t>.</w:t>
            </w:r>
            <w:proofErr w:type="spellStart"/>
            <w:r w:rsidR="00E81A5D">
              <w:rPr>
                <w:rStyle w:val="spanrvts0"/>
                <w:lang w:eastAsia="uk"/>
              </w:rPr>
              <w:t>ua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/</w:t>
            </w:r>
            <w:proofErr w:type="spellStart"/>
            <w:r w:rsidR="00E81A5D">
              <w:rPr>
                <w:rStyle w:val="spanrvts0"/>
                <w:lang w:eastAsia="uk"/>
              </w:rPr>
              <w:t>informacziya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-</w:t>
            </w:r>
            <w:proofErr w:type="spellStart"/>
            <w:r w:rsidR="00E81A5D">
              <w:rPr>
                <w:rStyle w:val="spanrvts0"/>
                <w:lang w:eastAsia="uk"/>
              </w:rPr>
              <w:t>dlya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-</w:t>
            </w:r>
            <w:proofErr w:type="spellStart"/>
            <w:r w:rsidR="00E81A5D">
              <w:rPr>
                <w:rStyle w:val="spanrvts0"/>
                <w:lang w:eastAsia="uk"/>
              </w:rPr>
              <w:t>akczioneriv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-</w:t>
            </w:r>
            <w:r w:rsidR="00E81A5D">
              <w:rPr>
                <w:rStyle w:val="spanrvts0"/>
                <w:lang w:eastAsia="uk"/>
              </w:rPr>
              <w:t>ta</w:t>
            </w:r>
            <w:r w:rsidR="00E81A5D" w:rsidRPr="00C466C6">
              <w:rPr>
                <w:rStyle w:val="spanrvts0"/>
                <w:lang w:val="ru-RU" w:eastAsia="uk"/>
              </w:rPr>
              <w:t>-</w:t>
            </w:r>
            <w:proofErr w:type="spellStart"/>
            <w:r w:rsidR="00E81A5D">
              <w:rPr>
                <w:rStyle w:val="spanrvts0"/>
                <w:lang w:eastAsia="uk"/>
              </w:rPr>
              <w:t>stejkholderiv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/ </w:t>
            </w:r>
            <w:r w:rsidR="00E81A5D">
              <w:rPr>
                <w:rStyle w:val="spanrvts0"/>
                <w:lang w:eastAsia="uk"/>
              </w:rPr>
              <w:t>I</w:t>
            </w:r>
            <w:r w:rsidR="00E81A5D" w:rsidRPr="00C466C6">
              <w:rPr>
                <w:rStyle w:val="spanrvts0"/>
                <w:lang w:val="ru-RU" w:eastAsia="uk"/>
              </w:rPr>
              <w:t>НША ІНФОРМАЦІЯ</w:t>
            </w:r>
          </w:p>
        </w:tc>
      </w:tr>
      <w:tr w:rsidR="00230FCE" w:rsidRPr="008516E6" w14:paraId="01587C5D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336C8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>, та посадова особа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97DC" w14:textId="77777777" w:rsidR="00E81A5D" w:rsidRPr="00C466C6" w:rsidRDefault="00FC060E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якими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:</w:t>
            </w:r>
          </w:p>
          <w:p w14:paraId="47E5F0EB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надсилання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 </w:t>
            </w:r>
            <w:proofErr w:type="gramStart"/>
            <w:r w:rsidRPr="00C466C6">
              <w:rPr>
                <w:rStyle w:val="spanrvts0"/>
                <w:lang w:val="ru-RU" w:eastAsia="uk"/>
              </w:rPr>
              <w:t xml:space="preserve">(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зокрема</w:t>
            </w:r>
            <w:proofErr w:type="spellEnd"/>
            <w:proofErr w:type="gramEnd"/>
            <w:r w:rsidRPr="00C466C6">
              <w:rPr>
                <w:rStyle w:val="spanrvts0"/>
                <w:lang w:val="ru-RU" w:eastAsia="uk"/>
              </w:rPr>
              <w:t xml:space="preserve">, але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договору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обов'язковий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викуп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 порядку денного,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Запит,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надійшов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адресу,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152D548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- Запит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Національною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комісією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фондового ринку, та направлений </w:t>
            </w:r>
            <w:proofErr w:type="gramStart"/>
            <w:r w:rsidRPr="00C466C6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>
              <w:rPr>
                <w:rStyle w:val="spanrvts0"/>
                <w:lang w:eastAsia="uk"/>
              </w:rPr>
              <w:t>cymbaluk</w:t>
            </w:r>
            <w:proofErr w:type="spellEnd"/>
            <w:r w:rsidRPr="00C466C6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stalkanatsilur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C466C6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</w:p>
          <w:p w14:paraId="6DABBC88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Кожен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погодився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використання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передачі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зазначив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своєму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надсилаються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зобов'язане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встановлених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документообіг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безкоштовно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зберігає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встановлених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документообіг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50D89C09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-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у строк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надіслання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кожний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 (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зокрема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але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проєктом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договору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обов'язковий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викуп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(порядку денного)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робочі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вівторок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середу з 14.00 до 16.00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місцезнаходженням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м. Одеса,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вул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Водопровідна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буд. 16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приміщенні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конференц-залу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2 поверх,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кімната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№ 23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C466C6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cymbaluk</w:t>
            </w:r>
            <w:proofErr w:type="spellEnd"/>
            <w:r w:rsidRPr="00C466C6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stalkanatsilur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C466C6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Посадова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відповідальна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пов'язаними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C466C6">
              <w:rPr>
                <w:rStyle w:val="spanrvts0"/>
                <w:lang w:val="ru-RU" w:eastAsia="uk"/>
              </w:rPr>
              <w:t xml:space="preserve">- 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Генеральний</w:t>
            </w:r>
            <w:proofErr w:type="spellEnd"/>
            <w:proofErr w:type="gramEnd"/>
            <w:r w:rsidRPr="00C466C6">
              <w:rPr>
                <w:rStyle w:val="spanrvts0"/>
                <w:lang w:val="ru-RU" w:eastAsia="uk"/>
              </w:rPr>
              <w:t xml:space="preserve"> директор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Лавриненко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Сергій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Геннадійович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телефон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довідок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(048) 777-67-34;</w:t>
            </w:r>
          </w:p>
          <w:p w14:paraId="5E936F90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- у строк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після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кожний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 (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зокрема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але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договору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обов'язковий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викуп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письмового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 порядку денного (порядку денного)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місцезнаходження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ім'я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відповідальної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 за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пов'язаними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оформленого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особі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відповідальної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 за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документами,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двох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робочих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письмового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таких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направлено запит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із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вказаний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зобов'язане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надавати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письмові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порядку денного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ніж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один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робочий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день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709784A" w14:textId="532F7474" w:rsidR="00230FCE" w:rsidRPr="00C466C6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8516E6" w14:paraId="4403C939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7A838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Інформація про права, надані акціонерам відповідно до вимог </w:t>
            </w:r>
            <w:hyperlink r:id="rId8" w:anchor="n274" w:tgtFrame="_blank" w:history="1">
              <w:r w:rsidRPr="00230FCE">
                <w:rPr>
                  <w:rStyle w:val="arvts96"/>
                  <w:lang w:val="uk" w:eastAsia="uk"/>
                </w:rPr>
                <w:t>статей 27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і </w:t>
            </w:r>
            <w:hyperlink r:id="rId9" w:anchor="n283" w:tgtFrame="_blank" w:history="1">
              <w:r w:rsidRPr="00230FCE">
                <w:rPr>
                  <w:rStyle w:val="arvts96"/>
                  <w:lang w:val="uk" w:eastAsia="uk"/>
                </w:rPr>
                <w:t>28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5DAD" w14:textId="77777777" w:rsidR="00E81A5D" w:rsidRPr="00C466C6" w:rsidRDefault="00FC060E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При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проведенні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="00E81A5D"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мають</w:t>
            </w:r>
            <w:proofErr w:type="spellEnd"/>
            <w:proofErr w:type="gramEnd"/>
            <w:r w:rsidR="00E81A5D" w:rsidRPr="00C466C6">
              <w:rPr>
                <w:rStyle w:val="spanrvts0"/>
                <w:lang w:val="ru-RU" w:eastAsia="uk"/>
              </w:rPr>
              <w:t xml:space="preserve"> права,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передбачені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чинним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та Статутом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зокрема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але не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виключно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:</w:t>
            </w:r>
          </w:p>
          <w:p w14:paraId="0BE8F02F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При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скористатися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правами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ст. 27 Закону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", у тому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44F7CD7A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lastRenderedPageBreak/>
              <w:t xml:space="preserve">1. Кожною простою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акцією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власнику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однакова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сукупність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включаючи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 на:</w:t>
            </w:r>
          </w:p>
          <w:p w14:paraId="21938E58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1) участь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управлінні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0F4B9E03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65B023E2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3)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ліквідації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майна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вартості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майна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6D35CE84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4)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господарську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67A2B589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Одна проста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голосуюча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один голос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вирішення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кожного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крім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769AEEDB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власники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й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статутом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7478FF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2.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статутом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судові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понесені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зв'язку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інтересах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позову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відшкодування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збитків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заподіяних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відшкодовуються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незалежно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справи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суді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6E6F0209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Строк,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використовуватися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володіння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акціями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875B766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049CEBB6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права,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ст.28 Закону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",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користуватися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після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також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строк,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використовуватися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тому,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власників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привілейованих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368902E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4CED3B2B" w14:textId="130B60B0" w:rsidR="00230FCE" w:rsidRPr="00C466C6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230FCE" w14:paraId="54E7C7D9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B590F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A6A5" w14:textId="77777777" w:rsidR="00E81A5D" w:rsidRPr="00C466C6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скликаються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Розділ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VII</w:t>
            </w:r>
            <w:r w:rsidR="00E81A5D" w:rsidRPr="00C466C6">
              <w:rPr>
                <w:rStyle w:val="spanrvts0"/>
                <w:lang w:val="ru-RU" w:eastAsia="uk"/>
              </w:rPr>
              <w:t xml:space="preserve">. П.31 Порядку, у такому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Наглядова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рада (особа, яка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скликає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збори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затверджує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денний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в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зв'язку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з </w:t>
            </w:r>
          </w:p>
          <w:p w14:paraId="38D24D92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цим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позбавлені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вносити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можливості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скористатися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правами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ст. 49 Закону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" та </w:t>
            </w:r>
          </w:p>
          <w:p w14:paraId="70851A3C" w14:textId="77777777" w:rsidR="00E81A5D" w:rsidRDefault="00E81A5D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Розділ</w:t>
            </w:r>
            <w:proofErr w:type="spellEnd"/>
            <w:r>
              <w:rPr>
                <w:rStyle w:val="spanrvts0"/>
                <w:lang w:eastAsia="uk"/>
              </w:rPr>
              <w:t xml:space="preserve"> XI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45A48DFC" w14:textId="76F6AE2E" w:rsidR="00230FCE" w:rsidRPr="00855E73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8516E6" w14:paraId="75F5FC32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EABEB9" w14:textId="77777777" w:rsidR="00230FCE" w:rsidRPr="00230FCE" w:rsidRDefault="00230FCE" w:rsidP="00EB1242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участі та голосування на загальних зборах за довіреністю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8C73FF" w14:textId="77777777" w:rsidR="00E81A5D" w:rsidRPr="00C466C6" w:rsidRDefault="00855E73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відбуватимуться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дистанційно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(у тому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), в тому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довіреністю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:</w:t>
            </w:r>
          </w:p>
          <w:p w14:paraId="2031593A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1)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Кожен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власник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реалізувати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своє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установи, яка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оригінал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також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оригінали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яку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фондового ринку.</w:t>
            </w:r>
          </w:p>
          <w:p w14:paraId="5BC43855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створюються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Порядком,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створюватися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із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застосуванням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підпису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відповідної</w:t>
            </w:r>
            <w:proofErr w:type="spellEnd"/>
            <w:proofErr w:type="gramEnd"/>
            <w:r w:rsidRPr="00C466C6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цієї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ключа;</w:t>
            </w:r>
          </w:p>
          <w:p w14:paraId="74A0DDAC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3)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довіреністю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відбувається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Порядку та чинного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54D9FA66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видана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фізичною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посвідчується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нотаріусом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вчиняють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також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посвідчуватися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тому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числі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документу) </w:t>
            </w:r>
            <w:proofErr w:type="gramStart"/>
            <w:r w:rsidRPr="00C466C6">
              <w:rPr>
                <w:rStyle w:val="spanrvts0"/>
                <w:lang w:val="ru-RU" w:eastAsia="uk"/>
              </w:rPr>
              <w:t>у порядку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встановленому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чиним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посвідчують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документу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фізичних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осіб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є депонентами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цієї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установи, та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депозитарній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депонента.</w:t>
            </w:r>
          </w:p>
          <w:p w14:paraId="35DFB335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імені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органом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уповноваженою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установчими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документами.</w:t>
            </w:r>
          </w:p>
          <w:p w14:paraId="193F1A17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перелік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інструкцією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яка є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невід'ємною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частиною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повинен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він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здійснює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розсуд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</w:p>
          <w:p w14:paraId="24D271B7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4) Порядок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0730F4B3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Датою початку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є дата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розміщення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,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саме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6CF8B3B0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з 11-00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години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"22"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серпня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2025 року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крім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)</w:t>
            </w:r>
          </w:p>
          <w:p w14:paraId="06795F85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5F1274A6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Датою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закінчення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є дата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саме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до 18.00 год. "04" вересня 2025 року </w:t>
            </w:r>
          </w:p>
          <w:p w14:paraId="6666965D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036636F7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подаватися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як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із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ключа)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так і шляхом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установи), орган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скликає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місцезнаходженням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2899160C" w14:textId="77777777" w:rsidR="00E81A5D" w:rsidRPr="008516E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вибором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нотаріально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нотаріуса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посадової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вчиняє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(за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установи).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да чинного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особи, яка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вказана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Порядку,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приймаються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r w:rsidRPr="008516E6">
              <w:rPr>
                <w:rStyle w:val="spanrvts0"/>
                <w:lang w:val="ru-RU" w:eastAsia="uk"/>
              </w:rPr>
              <w:t>(</w:t>
            </w:r>
            <w:proofErr w:type="spellStart"/>
            <w:r w:rsidRPr="008516E6">
              <w:rPr>
                <w:rStyle w:val="spanrvts0"/>
                <w:lang w:val="ru-RU" w:eastAsia="uk"/>
              </w:rPr>
              <w:t>акціонерним</w:t>
            </w:r>
            <w:proofErr w:type="spellEnd"/>
            <w:r w:rsidRPr="008516E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8516E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8516E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8516E6">
              <w:rPr>
                <w:rStyle w:val="spanrvts0"/>
                <w:lang w:val="ru-RU" w:eastAsia="uk"/>
              </w:rPr>
              <w:t>визначеному</w:t>
            </w:r>
            <w:proofErr w:type="spellEnd"/>
            <w:r w:rsidRPr="008516E6">
              <w:rPr>
                <w:rStyle w:val="spanrvts0"/>
                <w:lang w:val="ru-RU" w:eastAsia="uk"/>
              </w:rPr>
              <w:t xml:space="preserve"> Порядком </w:t>
            </w:r>
            <w:proofErr w:type="spellStart"/>
            <w:r w:rsidRPr="008516E6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8516E6">
              <w:rPr>
                <w:rStyle w:val="spanrvts0"/>
                <w:lang w:val="ru-RU" w:eastAsia="uk"/>
              </w:rPr>
              <w:t xml:space="preserve">) для </w:t>
            </w:r>
            <w:proofErr w:type="spellStart"/>
            <w:r w:rsidRPr="008516E6">
              <w:rPr>
                <w:rStyle w:val="spanrvts0"/>
                <w:lang w:val="ru-RU" w:eastAsia="uk"/>
              </w:rPr>
              <w:t>подальшого</w:t>
            </w:r>
            <w:proofErr w:type="spellEnd"/>
            <w:r w:rsidRPr="008516E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8516E6">
              <w:rPr>
                <w:rStyle w:val="spanrvts0"/>
                <w:lang w:val="ru-RU" w:eastAsia="uk"/>
              </w:rPr>
              <w:t>опрацювання</w:t>
            </w:r>
            <w:proofErr w:type="spellEnd"/>
            <w:r w:rsidRPr="008516E6">
              <w:rPr>
                <w:rStyle w:val="spanrvts0"/>
                <w:lang w:val="ru-RU" w:eastAsia="uk"/>
              </w:rPr>
              <w:t>.</w:t>
            </w:r>
          </w:p>
          <w:p w14:paraId="2992A2C9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виконаних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разом з такими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бюлетенями</w:t>
            </w:r>
            <w:proofErr w:type="spellEnd"/>
            <w:r w:rsidRPr="00C466C6">
              <w:rPr>
                <w:rStyle w:val="spanrvts0"/>
                <w:lang w:val="ru-RU" w:eastAsia="uk"/>
              </w:rPr>
              <w:t>,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мотивована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подальшому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опрацюванні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підстав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Порядком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встановлений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Порядком строк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спосіб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визначений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договором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таким договором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передбачено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спосіб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Порядку)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була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вимога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вказана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адреса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13C8CA0B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складається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кількох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аркушів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сторінки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нумеруються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кожен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аркуш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>).</w:t>
            </w:r>
          </w:p>
          <w:p w14:paraId="0B095181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57A54C1F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1) форма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текст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відрізняється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зразка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розміщений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посиланням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вказаним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веб-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сайті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1A8BBF31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2)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ньому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відсутній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>);</w:t>
            </w:r>
          </w:p>
          <w:p w14:paraId="0D3B8909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3)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реквізитів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яка є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обов'язковою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Порядку;</w:t>
            </w:r>
          </w:p>
          <w:p w14:paraId="15E9474D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4)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формі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вище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також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він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складається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кількох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аркушів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пронумеровані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чином.</w:t>
            </w:r>
          </w:p>
          <w:p w14:paraId="00FA6671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жодного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більше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варіанта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варіант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"за" по кожному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із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проєктів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одного й того самого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денного.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 одному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питанню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наслідком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визнання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всього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119D2DAC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виходячи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із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4D1B2009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одним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наступних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способів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вибором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6B3EE72D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1)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ключа)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чи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додаються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копії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517904DC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нотаріально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нотаріуса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посадової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вчиняє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дії</w:t>
            </w:r>
            <w:proofErr w:type="spellEnd"/>
            <w:r w:rsidRPr="00C466C6">
              <w:rPr>
                <w:rStyle w:val="spanrvts0"/>
                <w:lang w:val="ru-RU" w:eastAsia="uk"/>
              </w:rPr>
              <w:t>;</w:t>
            </w:r>
          </w:p>
          <w:p w14:paraId="3EA549FB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3) депозитарною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яка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установи.</w:t>
            </w:r>
          </w:p>
          <w:p w14:paraId="25FAB7E6" w14:textId="77777777" w:rsidR="00E81A5D" w:rsidRPr="00C466C6" w:rsidRDefault="00E81A5D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7AA3B8D0" w14:textId="6613F068" w:rsidR="00230FCE" w:rsidRPr="00C466C6" w:rsidRDefault="00230FCE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</w:tc>
      </w:tr>
      <w:tr w:rsidR="00230FCE" w:rsidRPr="008516E6" w14:paraId="7B9E2F9C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8D8F515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3F2EA0" w14:textId="73334849" w:rsidR="00230FCE" w:rsidRPr="00C466C6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</w:p>
          <w:p w14:paraId="30EC7DAD" w14:textId="071A2C11" w:rsidR="00855E73" w:rsidRPr="00C466C6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</w:p>
        </w:tc>
      </w:tr>
      <w:tr w:rsidR="00230FCE" w:rsidRPr="00230FCE" w14:paraId="67517FC7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E9564BC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та завершення надсилання до депозитарної установи бюлетенів для голосування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46843F" w14:textId="6ADC00D1" w:rsidR="00230FCE" w:rsidRDefault="00855E73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22.08.2025 11:00</w:t>
            </w:r>
          </w:p>
          <w:p w14:paraId="604C39C7" w14:textId="5C3125EA" w:rsidR="00855E73" w:rsidRPr="00855E73" w:rsidRDefault="00855E73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04.09.2025 18:00</w:t>
            </w:r>
          </w:p>
        </w:tc>
      </w:tr>
      <w:tr w:rsidR="00230FCE" w:rsidRPr="008516E6" w14:paraId="5A98D432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C9FD221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Дані про мету зменшення розміру статутного капіталу та спосіб, у який буде проведено таку процедуру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4D17D9" w14:textId="6257560A" w:rsidR="00230FCE" w:rsidRPr="00C466C6" w:rsidRDefault="00C7694B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не наводиться тому,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до порядку денного не </w:t>
            </w:r>
            <w:proofErr w:type="gramStart"/>
            <w:r w:rsidR="00E81A5D" w:rsidRPr="00C466C6">
              <w:rPr>
                <w:rStyle w:val="spanrvts0"/>
                <w:lang w:val="ru-RU" w:eastAsia="uk"/>
              </w:rPr>
              <w:t xml:space="preserve">включено 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питання</w:t>
            </w:r>
            <w:proofErr w:type="spellEnd"/>
            <w:proofErr w:type="gramEnd"/>
            <w:r w:rsidR="00E81A5D"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зменшення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розміру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статутного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капіталу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E81A5D" w:rsidRPr="00C466C6">
              <w:rPr>
                <w:rStyle w:val="spanrvts0"/>
                <w:lang w:val="ru-RU" w:eastAsia="uk"/>
              </w:rPr>
              <w:t>.</w:t>
            </w:r>
          </w:p>
        </w:tc>
      </w:tr>
      <w:tr w:rsidR="00230FCE" w:rsidRPr="00230FCE" w14:paraId="148223BE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4115F60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Інші відомості, передбачені законодавством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D05A47" w14:textId="77777777" w:rsidR="00E81A5D" w:rsidRPr="00C466C6" w:rsidRDefault="00C7694B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 </w:t>
            </w:r>
            <w:r w:rsidR="00E81A5D" w:rsidRPr="00C466C6">
              <w:rPr>
                <w:rStyle w:val="spanrvts0"/>
                <w:lang w:val="ru-RU" w:eastAsia="uk"/>
              </w:rPr>
              <w:t xml:space="preserve">ДО УВАГИ АКЦІОНЕРІВ! </w:t>
            </w:r>
          </w:p>
          <w:p w14:paraId="5E4688DD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Реєстрація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проводиться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підставі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на участь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</w:t>
            </w:r>
          </w:p>
          <w:p w14:paraId="5E82B01B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0AF27877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Адреса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сторінки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власному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веб-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сайті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 </w:t>
            </w:r>
            <w:r>
              <w:rPr>
                <w:rStyle w:val="spanrvts0"/>
                <w:lang w:eastAsia="uk"/>
              </w:rPr>
              <w:t>https</w:t>
            </w:r>
            <w:r w:rsidRPr="00C466C6">
              <w:rPr>
                <w:rStyle w:val="spanrvts0"/>
                <w:lang w:val="ru-RU" w:eastAsia="uk"/>
              </w:rPr>
              <w:t>://</w:t>
            </w:r>
            <w:proofErr w:type="spellStart"/>
            <w:r>
              <w:rPr>
                <w:rStyle w:val="spanrvts0"/>
                <w:lang w:eastAsia="uk"/>
              </w:rPr>
              <w:t>stalkanat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C466C6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C466C6">
              <w:rPr>
                <w:rStyle w:val="spanrvts0"/>
                <w:lang w:val="ru-RU"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informacziya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dlya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akczioneriv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r>
              <w:rPr>
                <w:rStyle w:val="spanrvts0"/>
                <w:lang w:eastAsia="uk"/>
              </w:rPr>
              <w:t>ta</w:t>
            </w:r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stejkholderiv</w:t>
            </w:r>
            <w:proofErr w:type="spellEnd"/>
            <w:r w:rsidRPr="00C466C6">
              <w:rPr>
                <w:rStyle w:val="spanrvts0"/>
                <w:lang w:val="ru-RU" w:eastAsia="uk"/>
              </w:rPr>
              <w:t>/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 </w:t>
            </w:r>
            <w:r>
              <w:rPr>
                <w:rStyle w:val="spanrvts0"/>
                <w:lang w:eastAsia="uk"/>
              </w:rPr>
              <w:t>I</w:t>
            </w:r>
            <w:r w:rsidRPr="00C466C6">
              <w:rPr>
                <w:rStyle w:val="spanrvts0"/>
                <w:lang w:val="ru-RU" w:eastAsia="uk"/>
              </w:rPr>
              <w:t xml:space="preserve">НША </w:t>
            </w:r>
            <w:r w:rsidRPr="00C466C6">
              <w:rPr>
                <w:rStyle w:val="spanrvts0"/>
                <w:lang w:val="ru-RU" w:eastAsia="uk"/>
              </w:rPr>
              <w:lastRenderedPageBreak/>
              <w:t xml:space="preserve">ІНФОРМАЦІЯ,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розміщена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п.38 Порядку: </w:t>
            </w:r>
          </w:p>
          <w:p w14:paraId="1F92DB00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1)</w:t>
            </w:r>
            <w:r w:rsidRPr="00C466C6">
              <w:rPr>
                <w:rStyle w:val="spanrvts0"/>
                <w:lang w:val="ru-RU" w:eastAsia="uk"/>
              </w:rPr>
              <w:tab/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;  </w:t>
            </w:r>
          </w:p>
          <w:p w14:paraId="4E7D9429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2)</w:t>
            </w:r>
            <w:r w:rsidRPr="00C466C6">
              <w:rPr>
                <w:rStyle w:val="spanrvts0"/>
                <w:lang w:val="ru-RU" w:eastAsia="uk"/>
              </w:rPr>
              <w:tab/>
              <w:t xml:space="preserve">станом на "11"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серпня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2025 р. - на дату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складання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осіб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надсилається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</w:p>
          <w:p w14:paraId="07D99E5E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-</w:t>
            </w:r>
            <w:r w:rsidRPr="00C466C6">
              <w:rPr>
                <w:rStyle w:val="spanrvts0"/>
                <w:lang w:val="ru-RU" w:eastAsia="uk"/>
              </w:rPr>
              <w:tab/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складає</w:t>
            </w:r>
            <w:proofErr w:type="spellEnd"/>
            <w:proofErr w:type="gramEnd"/>
            <w:r w:rsidRPr="00C466C6">
              <w:rPr>
                <w:rStyle w:val="spanrvts0"/>
                <w:lang w:val="ru-RU" w:eastAsia="uk"/>
              </w:rPr>
              <w:t xml:space="preserve"> - 208 661 506 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дорівнює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відсоткам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статутного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капіталу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; </w:t>
            </w:r>
          </w:p>
          <w:p w14:paraId="502C813E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-</w:t>
            </w:r>
            <w:r w:rsidRPr="00C466C6">
              <w:rPr>
                <w:rStyle w:val="spanrvts0"/>
                <w:lang w:val="ru-RU" w:eastAsia="uk"/>
              </w:rPr>
              <w:tab/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складає</w:t>
            </w:r>
            <w:proofErr w:type="spellEnd"/>
            <w:r w:rsidRPr="00C466C6">
              <w:rPr>
                <w:rStyle w:val="spanrvts0"/>
                <w:lang w:val="ru-RU" w:eastAsia="uk"/>
              </w:rPr>
              <w:t>:  208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661 506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4A586B30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>3)</w:t>
            </w:r>
            <w:r w:rsidRPr="00C466C6">
              <w:rPr>
                <w:rStyle w:val="spanrvts0"/>
                <w:lang w:val="ru-RU" w:eastAsia="uk"/>
              </w:rPr>
              <w:tab/>
            </w:r>
            <w:proofErr w:type="spellStart"/>
            <w:r w:rsidRPr="00C466C6">
              <w:rPr>
                <w:rStyle w:val="spanrvts0"/>
                <w:lang w:val="ru-RU" w:eastAsia="uk"/>
              </w:rPr>
              <w:t>перелік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: </w:t>
            </w:r>
          </w:p>
          <w:p w14:paraId="09B6309C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реєстрації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таким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направляються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C466C6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установи, яка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якому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7D6EA293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додаються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копії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7DD368C1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право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оригінал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також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оригінали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особу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пошти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на яку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може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або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разі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його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копію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фондового ринку.</w:t>
            </w:r>
          </w:p>
          <w:p w14:paraId="27E70759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17770904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lastRenderedPageBreak/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їх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буде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розміщений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 веб-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сайті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адресою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:</w:t>
            </w:r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https</w:t>
            </w:r>
            <w:r w:rsidRPr="00C466C6">
              <w:rPr>
                <w:rStyle w:val="spanrvts0"/>
                <w:lang w:val="ru-RU" w:eastAsia="uk"/>
              </w:rPr>
              <w:t>://</w:t>
            </w:r>
            <w:proofErr w:type="spellStart"/>
            <w:r>
              <w:rPr>
                <w:rStyle w:val="spanrvts0"/>
                <w:lang w:eastAsia="uk"/>
              </w:rPr>
              <w:t>stalkanat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C466C6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C466C6">
              <w:rPr>
                <w:rStyle w:val="spanrvts0"/>
                <w:lang w:val="ru-RU"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informacziya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dlya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akczioneriv</w:t>
            </w:r>
            <w:proofErr w:type="spellEnd"/>
            <w:r w:rsidRPr="00C466C6">
              <w:rPr>
                <w:rStyle w:val="spanrvts0"/>
                <w:lang w:val="ru-RU" w:eastAsia="uk"/>
              </w:rPr>
              <w:t>-</w:t>
            </w:r>
            <w:r>
              <w:rPr>
                <w:rStyle w:val="spanrvts0"/>
                <w:lang w:eastAsia="uk"/>
              </w:rPr>
              <w:t>ta</w:t>
            </w:r>
            <w:r w:rsidRPr="00C466C6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stejkholderiv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/  </w:t>
            </w:r>
            <w:r>
              <w:rPr>
                <w:rStyle w:val="spanrvts0"/>
                <w:lang w:eastAsia="uk"/>
              </w:rPr>
              <w:t>I</w:t>
            </w:r>
            <w:r w:rsidRPr="00C466C6">
              <w:rPr>
                <w:rStyle w:val="spanrvts0"/>
                <w:lang w:val="ru-RU" w:eastAsia="uk"/>
              </w:rPr>
              <w:t xml:space="preserve">НША ІНФОРМАЦІЯ не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11-00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години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"22"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серпня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2025 року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щодо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крім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</w:t>
            </w:r>
          </w:p>
          <w:p w14:paraId="4FFED6BE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Дата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18.00 год. "04" вересня 2025 року</w:t>
            </w:r>
          </w:p>
          <w:p w14:paraId="36B613E0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C466C6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даному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повідомлені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наведена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урахуванням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наступного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>:</w:t>
            </w:r>
          </w:p>
          <w:p w14:paraId="48ECB503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C466C6">
              <w:rPr>
                <w:rStyle w:val="spanrvts0"/>
                <w:lang w:val="ru-RU" w:eastAsia="uk"/>
              </w:rPr>
              <w:t>Позачергові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далі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збори</w:t>
            </w:r>
            <w:proofErr w:type="spellEnd"/>
            <w:r w:rsidRPr="00C466C6">
              <w:rPr>
                <w:rStyle w:val="spanrvts0"/>
                <w:lang w:val="ru-RU" w:eastAsia="uk"/>
              </w:rPr>
              <w:t>) ПРИВАТНОГО АКЦІОНЕРНОГО ТОВАРИСТВА "СТАЛЬКАНАТ"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далі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proofErr w:type="gramStart"/>
            <w:r w:rsidRPr="00C466C6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)  </w:t>
            </w:r>
            <w:proofErr w:type="spellStart"/>
            <w:r w:rsidRPr="00C466C6">
              <w:rPr>
                <w:rStyle w:val="spanrvts0"/>
                <w:lang w:val="ru-RU" w:eastAsia="uk"/>
              </w:rPr>
              <w:t>будуть</w:t>
            </w:r>
            <w:proofErr w:type="spellEnd"/>
            <w:proofErr w:type="gram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дистанційно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до Порядку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скликання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затвердженого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рішенням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C466C6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фондового ринку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далі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НКЦПФР)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від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06.03.2023 року № 236 (</w:t>
            </w:r>
            <w:proofErr w:type="spellStart"/>
            <w:r w:rsidRPr="00C466C6">
              <w:rPr>
                <w:rStyle w:val="spanrvts0"/>
                <w:lang w:val="ru-RU" w:eastAsia="uk"/>
              </w:rPr>
              <w:t>далі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- Порядок), </w:t>
            </w:r>
            <w:proofErr w:type="spellStart"/>
            <w:r w:rsidRPr="00C466C6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, Статуту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C466C6">
              <w:rPr>
                <w:rStyle w:val="spanrvts0"/>
                <w:lang w:val="ru-RU" w:eastAsia="uk"/>
              </w:rPr>
              <w:t>інших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внутрішніх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положень</w:t>
            </w:r>
            <w:proofErr w:type="spellEnd"/>
            <w:r w:rsidRPr="00C466C6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C466C6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C466C6">
              <w:rPr>
                <w:rStyle w:val="spanrvts0"/>
                <w:lang w:val="ru-RU" w:eastAsia="uk"/>
              </w:rPr>
              <w:t>.</w:t>
            </w:r>
          </w:p>
          <w:p w14:paraId="793DB8CF" w14:textId="77777777" w:rsidR="00E81A5D" w:rsidRPr="00C466C6" w:rsidRDefault="00E81A5D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0A0F0DA8" w14:textId="77777777" w:rsidR="00E81A5D" w:rsidRDefault="00E81A5D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Довідки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телефоном</w:t>
            </w:r>
            <w:proofErr w:type="spellEnd"/>
            <w:r>
              <w:rPr>
                <w:rStyle w:val="spanrvts0"/>
                <w:lang w:eastAsia="uk"/>
              </w:rPr>
              <w:t>: +38 (048) 777-67-34</w:t>
            </w:r>
          </w:p>
          <w:p w14:paraId="1984BE38" w14:textId="4FE7C8CC" w:rsidR="00230FCE" w:rsidRPr="00C7694B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230FCE" w14:paraId="17709B4C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FA1E8BE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6AAE1E" w14:textId="4F97DEDA" w:rsidR="00230FCE" w:rsidRDefault="00C7694B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E81A5D">
              <w:rPr>
                <w:rStyle w:val="spanrvts0"/>
                <w:lang w:eastAsia="uk"/>
              </w:rPr>
              <w:t>Протокол</w:t>
            </w:r>
            <w:proofErr w:type="spellEnd"/>
            <w:r w:rsidR="00E81A5D">
              <w:rPr>
                <w:rStyle w:val="spanrvts0"/>
                <w:lang w:eastAsia="uk"/>
              </w:rPr>
              <w:t xml:space="preserve"> </w:t>
            </w:r>
            <w:proofErr w:type="spellStart"/>
            <w:r w:rsidR="00E81A5D">
              <w:rPr>
                <w:rStyle w:val="spanrvts0"/>
                <w:lang w:eastAsia="uk"/>
              </w:rPr>
              <w:t>Наглядової</w:t>
            </w:r>
            <w:proofErr w:type="spellEnd"/>
            <w:r w:rsidR="00E81A5D">
              <w:rPr>
                <w:rStyle w:val="spanrvts0"/>
                <w:lang w:eastAsia="uk"/>
              </w:rPr>
              <w:t xml:space="preserve"> </w:t>
            </w:r>
            <w:proofErr w:type="spellStart"/>
            <w:r w:rsidR="00E81A5D">
              <w:rPr>
                <w:rStyle w:val="spanrvts0"/>
                <w:lang w:eastAsia="uk"/>
              </w:rPr>
              <w:t>ради</w:t>
            </w:r>
            <w:proofErr w:type="spellEnd"/>
            <w:r w:rsidR="00E81A5D">
              <w:rPr>
                <w:rStyle w:val="spanrvts0"/>
                <w:lang w:eastAsia="uk"/>
              </w:rPr>
              <w:t xml:space="preserve"> № 42</w:t>
            </w:r>
          </w:p>
          <w:p w14:paraId="54A6A0B8" w14:textId="7AC691F5" w:rsidR="00C7694B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15.08.2025</w:t>
            </w:r>
          </w:p>
        </w:tc>
      </w:tr>
      <w:tr w:rsidR="00230FCE" w:rsidRPr="00230FCE" w14:paraId="64A6CA8E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6026E07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складання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43DDF5" w14:textId="093DAE48" w:rsidR="00230FCE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E81A5D">
              <w:rPr>
                <w:rStyle w:val="spanrvts0"/>
                <w:lang w:eastAsia="uk"/>
              </w:rPr>
              <w:t>15.08.2025</w:t>
            </w:r>
          </w:p>
        </w:tc>
      </w:tr>
    </w:tbl>
    <w:p w14:paraId="6DB59F85" w14:textId="77777777" w:rsidR="00337465" w:rsidRPr="00230FCE" w:rsidRDefault="00337465" w:rsidP="00230FCE">
      <w:pPr>
        <w:pStyle w:val="rvps14"/>
        <w:spacing w:before="150" w:after="150"/>
        <w:rPr>
          <w:lang w:val="uk"/>
        </w:rPr>
      </w:pPr>
    </w:p>
    <w:sectPr w:rsidR="00337465" w:rsidRPr="00230FCE" w:rsidSect="00E81A5D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5D"/>
    <w:rsid w:val="001B5F18"/>
    <w:rsid w:val="00230FCE"/>
    <w:rsid w:val="002424A1"/>
    <w:rsid w:val="00337465"/>
    <w:rsid w:val="00554BEA"/>
    <w:rsid w:val="00810F71"/>
    <w:rsid w:val="008516E6"/>
    <w:rsid w:val="00855E73"/>
    <w:rsid w:val="00AA2A4D"/>
    <w:rsid w:val="00B8206F"/>
    <w:rsid w:val="00C466C6"/>
    <w:rsid w:val="00C7694B"/>
    <w:rsid w:val="00DA2206"/>
    <w:rsid w:val="00E81A5D"/>
    <w:rsid w:val="00EB1242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3AD2"/>
  <w15:chartTrackingRefBased/>
  <w15:docId w15:val="{F651BDA6-4DC4-4C62-B415-D776737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C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230FCE"/>
  </w:style>
  <w:style w:type="character" w:customStyle="1" w:styleId="spanrvts15">
    <w:name w:val="span_rvts15"/>
    <w:rsid w:val="00230FCE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230FCE"/>
    <w:pPr>
      <w:jc w:val="center"/>
    </w:pPr>
  </w:style>
  <w:style w:type="table" w:customStyle="1" w:styleId="articletable">
    <w:name w:val="article_table"/>
    <w:basedOn w:val="a1"/>
    <w:rsid w:val="00230FCE"/>
    <w:rPr>
      <w:rFonts w:ascii="Times New Roman" w:eastAsia="Times New Roman" w:hAnsi="Times New Roman"/>
      <w:lang w:val="en-US"/>
    </w:rPr>
    <w:tblPr/>
  </w:style>
  <w:style w:type="character" w:customStyle="1" w:styleId="arvts96">
    <w:name w:val="a_rvts96"/>
    <w:rsid w:val="00230FC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230FCE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2">
    <w:name w:val="span_rvts82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12">
    <w:name w:val="rvps12"/>
    <w:basedOn w:val="a"/>
    <w:rsid w:val="00230F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5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65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1280-29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1280-28.em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file/imgs/109/p529494n1280-27.emf" TargetMode="External"/><Relationship Id="rId9" Type="http://schemas.openxmlformats.org/officeDocument/2006/relationships/hyperlink" Target="https://zakon.rada.gov.ua/laws/show/2465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\DOTS\zz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zza</Template>
  <TotalTime>50</TotalTime>
  <Pages>1</Pages>
  <Words>3316</Words>
  <Characters>18903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22175</CharactersWithSpaces>
  <SharedDoc>false</SharedDoc>
  <HLinks>
    <vt:vector size="36" baseType="variant">
      <vt:variant>
        <vt:i4>6881395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n283</vt:lpwstr>
      </vt:variant>
      <vt:variant>
        <vt:i4>7209084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n274</vt:lpwstr>
      </vt:variant>
      <vt:variant>
        <vt:i4>7012475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n506</vt:lpwstr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https://zakon.rada.gov.ua/laws/file/imgs/109/p529494n1280-29.emf</vt:lpwstr>
      </vt:variant>
      <vt:variant>
        <vt:lpwstr/>
      </vt:variant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https://zakon.rada.gov.ua/laws/file/imgs/109/p529494n1280-28.emf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https://zakon.rada.gov.ua/laws/file/imgs/109/p529494n1280-27.emf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Цымбалюк Максим Викторович</cp:lastModifiedBy>
  <cp:revision>7</cp:revision>
  <cp:lastPrinted>2025-08-15T12:28:00Z</cp:lastPrinted>
  <dcterms:created xsi:type="dcterms:W3CDTF">2025-08-15T09:26:00Z</dcterms:created>
  <dcterms:modified xsi:type="dcterms:W3CDTF">2025-08-15T13:12:00Z</dcterms:modified>
</cp:coreProperties>
</file>